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13C8" w14:textId="585D6E40" w:rsidR="008F51CE" w:rsidRPr="008F51CE" w:rsidRDefault="00380D7D" w:rsidP="008F51CE">
      <w:pPr>
        <w:keepNext/>
        <w:keepLines/>
        <w:spacing w:before="240" w:after="60" w:line="276" w:lineRule="auto"/>
        <w:outlineLvl w:val="0"/>
        <w:rPr>
          <w:rFonts w:ascii="Arial" w:eastAsia="MS Gothic" w:hAnsi="Arial" w:cs="Arial"/>
          <w:b/>
          <w:bCs/>
          <w:color w:val="5F5F5F"/>
          <w:sz w:val="40"/>
          <w:szCs w:val="40"/>
        </w:rPr>
      </w:pPr>
      <w:bookmarkStart w:id="0" w:name="_Toc44678893"/>
      <w:bookmarkStart w:id="1" w:name="_Toc45552357"/>
      <w:bookmarkStart w:id="2" w:name="Appendix_G"/>
      <w:bookmarkStart w:id="3" w:name="_GoBack"/>
      <w:bookmarkEnd w:id="3"/>
      <w:r>
        <w:rPr>
          <w:rFonts w:ascii="Arial" w:eastAsia="MS Gothic" w:hAnsi="Arial" w:cs="Arial"/>
          <w:b/>
          <w:bCs/>
          <w:color w:val="5F5F5F"/>
          <w:sz w:val="40"/>
          <w:szCs w:val="40"/>
        </w:rPr>
        <w:t>R</w:t>
      </w:r>
      <w:r w:rsidR="008F51CE" w:rsidRPr="008F51CE">
        <w:rPr>
          <w:rFonts w:ascii="Arial" w:eastAsia="MS Gothic" w:hAnsi="Arial" w:cs="Arial"/>
          <w:b/>
          <w:bCs/>
          <w:color w:val="5F5F5F"/>
          <w:sz w:val="40"/>
          <w:szCs w:val="40"/>
        </w:rPr>
        <w:t>isk allocation table</w:t>
      </w:r>
      <w:bookmarkEnd w:id="0"/>
      <w:bookmarkEnd w:id="1"/>
      <w:r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 </w:t>
      </w:r>
      <w:r w:rsidR="0010418F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- </w:t>
      </w:r>
      <w:r>
        <w:rPr>
          <w:rFonts w:ascii="Arial" w:eastAsia="MS Gothic" w:hAnsi="Arial" w:cs="Arial"/>
          <w:b/>
          <w:bCs/>
          <w:color w:val="5F5F5F"/>
          <w:sz w:val="40"/>
          <w:szCs w:val="40"/>
        </w:rPr>
        <w:t>template</w:t>
      </w:r>
    </w:p>
    <w:tbl>
      <w:tblPr>
        <w:tblStyle w:val="AureconTable1"/>
        <w:tblW w:w="5000" w:type="pct"/>
        <w:tblLook w:val="0420" w:firstRow="1" w:lastRow="0" w:firstColumn="0" w:lastColumn="0" w:noHBand="0" w:noVBand="1"/>
        <w:tblCaption w:val="Risk allocation table"/>
        <w:tblDescription w:val="Use this table to identify project risks and clearly show whether the risk is to be owned by the client or the supplier."/>
      </w:tblPr>
      <w:tblGrid>
        <w:gridCol w:w="5998"/>
        <w:gridCol w:w="1651"/>
        <w:gridCol w:w="1593"/>
      </w:tblGrid>
      <w:tr w:rsidR="008F51CE" w:rsidRPr="00380D7D" w14:paraId="62EFB8CB" w14:textId="77777777" w:rsidTr="00380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5" w:type="pct"/>
            <w:shd w:val="clear" w:color="auto" w:fill="C5E0B3" w:themeFill="accent6" w:themeFillTint="66"/>
          </w:tcPr>
          <w:bookmarkEnd w:id="2"/>
          <w:p w14:paraId="7F4C9839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2"/>
              </w:rPr>
            </w:pPr>
            <w:r w:rsidRPr="00380D7D">
              <w:rPr>
                <w:rFonts w:eastAsia="Arial" w:cs="Arial"/>
                <w:sz w:val="22"/>
              </w:rPr>
              <w:t>Type of risk</w:t>
            </w:r>
          </w:p>
        </w:tc>
        <w:tc>
          <w:tcPr>
            <w:tcW w:w="893" w:type="pct"/>
            <w:shd w:val="clear" w:color="auto" w:fill="C5E0B3" w:themeFill="accent6" w:themeFillTint="66"/>
          </w:tcPr>
          <w:p w14:paraId="3878C83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2"/>
              </w:rPr>
            </w:pPr>
            <w:r w:rsidRPr="00380D7D">
              <w:rPr>
                <w:rFonts w:eastAsia="Arial" w:cs="Arial"/>
                <w:sz w:val="22"/>
              </w:rPr>
              <w:t>Owner retains risk</w:t>
            </w:r>
          </w:p>
        </w:tc>
        <w:tc>
          <w:tcPr>
            <w:tcW w:w="862" w:type="pct"/>
            <w:shd w:val="clear" w:color="auto" w:fill="C5E0B3" w:themeFill="accent6" w:themeFillTint="66"/>
          </w:tcPr>
          <w:p w14:paraId="0CA64D4A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2"/>
              </w:rPr>
            </w:pPr>
            <w:r w:rsidRPr="00380D7D">
              <w:rPr>
                <w:rFonts w:eastAsia="Arial" w:cs="Arial"/>
                <w:sz w:val="22"/>
              </w:rPr>
              <w:t>Supplier retains risk</w:t>
            </w:r>
          </w:p>
        </w:tc>
      </w:tr>
      <w:tr w:rsidR="008F51CE" w:rsidRPr="00380D7D" w14:paraId="709631C7" w14:textId="77777777" w:rsidTr="00380D7D">
        <w:tc>
          <w:tcPr>
            <w:tcW w:w="3245" w:type="pct"/>
            <w:shd w:val="clear" w:color="auto" w:fill="C0C0C0"/>
          </w:tcPr>
          <w:p w14:paraId="21912455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b/>
                <w:bCs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 xml:space="preserve">General </w:t>
            </w:r>
          </w:p>
        </w:tc>
        <w:tc>
          <w:tcPr>
            <w:tcW w:w="893" w:type="pct"/>
            <w:shd w:val="clear" w:color="auto" w:fill="C0C0C0"/>
          </w:tcPr>
          <w:p w14:paraId="582B8986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862" w:type="pct"/>
            <w:shd w:val="clear" w:color="auto" w:fill="C0C0C0"/>
          </w:tcPr>
          <w:p w14:paraId="1947BFCF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</w:tr>
      <w:tr w:rsidR="008F51CE" w:rsidRPr="00380D7D" w14:paraId="05C219AF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4D00875E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Specific law changes</w:t>
            </w:r>
          </w:p>
        </w:tc>
        <w:tc>
          <w:tcPr>
            <w:tcW w:w="893" w:type="pct"/>
            <w:shd w:val="clear" w:color="auto" w:fill="auto"/>
          </w:tcPr>
          <w:p w14:paraId="28560687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Yes</w:t>
            </w:r>
          </w:p>
        </w:tc>
        <w:tc>
          <w:tcPr>
            <w:tcW w:w="862" w:type="pct"/>
            <w:shd w:val="clear" w:color="auto" w:fill="auto"/>
          </w:tcPr>
          <w:p w14:paraId="074539A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No</w:t>
            </w:r>
          </w:p>
        </w:tc>
      </w:tr>
      <w:tr w:rsidR="008F51CE" w:rsidRPr="00380D7D" w14:paraId="0412C9BF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026009C6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b/>
                <w:bCs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 xml:space="preserve">General changes in law 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3963911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No</w:t>
            </w:r>
          </w:p>
        </w:tc>
        <w:tc>
          <w:tcPr>
            <w:tcW w:w="862" w:type="pct"/>
            <w:shd w:val="clear" w:color="auto" w:fill="E2EFD9" w:themeFill="accent6" w:themeFillTint="33"/>
          </w:tcPr>
          <w:p w14:paraId="3BC15CD2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Yes</w:t>
            </w:r>
          </w:p>
        </w:tc>
      </w:tr>
      <w:tr w:rsidR="008F51CE" w:rsidRPr="00380D7D" w14:paraId="6E2334D5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5FD2559D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b/>
                <w:bCs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Force majeure events such as earthquake or extreme weather events</w:t>
            </w:r>
          </w:p>
        </w:tc>
        <w:tc>
          <w:tcPr>
            <w:tcW w:w="893" w:type="pct"/>
            <w:shd w:val="clear" w:color="auto" w:fill="auto"/>
          </w:tcPr>
          <w:p w14:paraId="232B4ED7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Shared</w:t>
            </w:r>
          </w:p>
        </w:tc>
        <w:tc>
          <w:tcPr>
            <w:tcW w:w="862" w:type="pct"/>
            <w:shd w:val="clear" w:color="auto" w:fill="auto"/>
          </w:tcPr>
          <w:p w14:paraId="4F7C49AC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Shared</w:t>
            </w:r>
          </w:p>
        </w:tc>
      </w:tr>
      <w:tr w:rsidR="008F51CE" w:rsidRPr="00380D7D" w14:paraId="153EBBBC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57AEB80D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Uninsurable risks (such as COVID19-related risks)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64D7C17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</w:rPr>
              <w:t>Etc.</w:t>
            </w:r>
          </w:p>
        </w:tc>
        <w:tc>
          <w:tcPr>
            <w:tcW w:w="862" w:type="pct"/>
            <w:shd w:val="clear" w:color="auto" w:fill="E2EFD9" w:themeFill="accent6" w:themeFillTint="33"/>
          </w:tcPr>
          <w:p w14:paraId="4426881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</w:tr>
      <w:tr w:rsidR="008F51CE" w:rsidRPr="00380D7D" w14:paraId="0EB0D5EF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22B4E0AF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 xml:space="preserve">Construction insurance costs </w:t>
            </w:r>
          </w:p>
        </w:tc>
        <w:tc>
          <w:tcPr>
            <w:tcW w:w="893" w:type="pct"/>
            <w:shd w:val="clear" w:color="auto" w:fill="auto"/>
          </w:tcPr>
          <w:p w14:paraId="101C54B2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862" w:type="pct"/>
            <w:shd w:val="clear" w:color="auto" w:fill="auto"/>
          </w:tcPr>
          <w:p w14:paraId="29E9F03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</w:tr>
      <w:tr w:rsidR="008F51CE" w:rsidRPr="00380D7D" w14:paraId="2B36AE45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310BD98A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Stakeholder engagement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2EA540F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14B97E8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</w:tr>
      <w:tr w:rsidR="008F51CE" w:rsidRPr="00380D7D" w14:paraId="7E9292AA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6BC868A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Protest action</w:t>
            </w:r>
          </w:p>
        </w:tc>
        <w:tc>
          <w:tcPr>
            <w:tcW w:w="893" w:type="pct"/>
            <w:shd w:val="clear" w:color="auto" w:fill="auto"/>
          </w:tcPr>
          <w:p w14:paraId="0262C0FC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862" w:type="pct"/>
            <w:shd w:val="clear" w:color="auto" w:fill="auto"/>
          </w:tcPr>
          <w:p w14:paraId="21922498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</w:rPr>
            </w:pPr>
          </w:p>
        </w:tc>
      </w:tr>
      <w:tr w:rsidR="008F51CE" w:rsidRPr="00380D7D" w14:paraId="7D02049A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5811847C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Labour relations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33146549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307E6C0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5FB02581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C0C0C0"/>
          </w:tcPr>
          <w:p w14:paraId="51778886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>Financial risk</w:t>
            </w:r>
          </w:p>
        </w:tc>
        <w:tc>
          <w:tcPr>
            <w:tcW w:w="893" w:type="pct"/>
            <w:shd w:val="clear" w:color="auto" w:fill="C0C0C0"/>
          </w:tcPr>
          <w:p w14:paraId="71BD4AD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C0C0C0"/>
          </w:tcPr>
          <w:p w14:paraId="05EC922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195221E1" w14:textId="77777777" w:rsidTr="00380D7D">
        <w:tc>
          <w:tcPr>
            <w:tcW w:w="3245" w:type="pct"/>
          </w:tcPr>
          <w:p w14:paraId="039BB45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Indexation risk (maintenance and operational phase)</w:t>
            </w:r>
          </w:p>
        </w:tc>
        <w:tc>
          <w:tcPr>
            <w:tcW w:w="893" w:type="pct"/>
          </w:tcPr>
          <w:p w14:paraId="07610A8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</w:tcPr>
          <w:p w14:paraId="30DC952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7BD674E4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C0C0C0"/>
          </w:tcPr>
          <w:p w14:paraId="7EEA771F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>Site risk</w:t>
            </w:r>
          </w:p>
        </w:tc>
        <w:tc>
          <w:tcPr>
            <w:tcW w:w="893" w:type="pct"/>
            <w:shd w:val="clear" w:color="auto" w:fill="C0C0C0"/>
          </w:tcPr>
          <w:p w14:paraId="03E8DDEC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C0C0C0"/>
          </w:tcPr>
          <w:p w14:paraId="17964B6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13B2AB49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6D4F58EB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 xml:space="preserve">Land acquisition delay 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18132696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31BBFBA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0E654E0D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4861D308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Ground conditions</w:t>
            </w:r>
          </w:p>
        </w:tc>
        <w:tc>
          <w:tcPr>
            <w:tcW w:w="893" w:type="pct"/>
            <w:shd w:val="clear" w:color="auto" w:fill="auto"/>
          </w:tcPr>
          <w:p w14:paraId="6BE9A6A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7DAA6EB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14A99271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5F7002CA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Unforeseen contamination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6727F6D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03349E4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0D480842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4863C1CF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Planning approvals</w:t>
            </w:r>
          </w:p>
        </w:tc>
        <w:tc>
          <w:tcPr>
            <w:tcW w:w="893" w:type="pct"/>
            <w:shd w:val="clear" w:color="auto" w:fill="auto"/>
          </w:tcPr>
          <w:p w14:paraId="360EFAF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77BF9F1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516D9343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1F719509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Third party site access – such as utility owners, landowners etc.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636F319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3BCD6377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343CB785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73B752AB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Archaeological artefact finds</w:t>
            </w:r>
          </w:p>
        </w:tc>
        <w:tc>
          <w:tcPr>
            <w:tcW w:w="893" w:type="pct"/>
            <w:shd w:val="clear" w:color="auto" w:fill="auto"/>
          </w:tcPr>
          <w:p w14:paraId="5AEB687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1412E736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40189C4E" w14:textId="77777777" w:rsidTr="00380D7D">
        <w:tc>
          <w:tcPr>
            <w:tcW w:w="3245" w:type="pct"/>
            <w:shd w:val="clear" w:color="auto" w:fill="C0C0C0"/>
          </w:tcPr>
          <w:p w14:paraId="185925F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>Design</w:t>
            </w:r>
          </w:p>
        </w:tc>
        <w:tc>
          <w:tcPr>
            <w:tcW w:w="893" w:type="pct"/>
            <w:shd w:val="clear" w:color="auto" w:fill="C0C0C0"/>
          </w:tcPr>
          <w:p w14:paraId="2F1119A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C0C0C0"/>
          </w:tcPr>
          <w:p w14:paraId="3E117DEC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071A97C1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E2EFD9" w:themeFill="accent6" w:themeFillTint="33"/>
          </w:tcPr>
          <w:p w14:paraId="0B312073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Design specification / fit for purpose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76B69385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55465AEA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3F1075C4" w14:textId="77777777" w:rsidTr="00380D7D">
        <w:tc>
          <w:tcPr>
            <w:tcW w:w="3245" w:type="pct"/>
          </w:tcPr>
          <w:p w14:paraId="223C8B4D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Compliance with legislative design standards</w:t>
            </w:r>
          </w:p>
        </w:tc>
        <w:tc>
          <w:tcPr>
            <w:tcW w:w="893" w:type="pct"/>
          </w:tcPr>
          <w:p w14:paraId="07B8C7B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</w:tcPr>
          <w:p w14:paraId="56D1860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2FE55684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E2EFD9" w:themeFill="accent6" w:themeFillTint="33"/>
          </w:tcPr>
          <w:p w14:paraId="7582C042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Design for safety performance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34169EEF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62DC1382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3C0E28D5" w14:textId="77777777" w:rsidTr="00380D7D">
        <w:tc>
          <w:tcPr>
            <w:tcW w:w="3245" w:type="pct"/>
          </w:tcPr>
          <w:p w14:paraId="0C34DC33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Planning approvals - impact of designation conditions on design (prior to contract signing)</w:t>
            </w:r>
          </w:p>
        </w:tc>
        <w:tc>
          <w:tcPr>
            <w:tcW w:w="893" w:type="pct"/>
          </w:tcPr>
          <w:p w14:paraId="62F046A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</w:tcPr>
          <w:p w14:paraId="36D24782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00E5C1C1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E2EFD9" w:themeFill="accent6" w:themeFillTint="33"/>
          </w:tcPr>
          <w:p w14:paraId="06414EB8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Cost and responsibility of obtaining outline planning consent approvals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1275AC6F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4764CBA8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771289B8" w14:textId="77777777" w:rsidTr="00380D7D">
        <w:tc>
          <w:tcPr>
            <w:tcW w:w="3245" w:type="pct"/>
          </w:tcPr>
          <w:p w14:paraId="0946B4CD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Design delays</w:t>
            </w:r>
          </w:p>
        </w:tc>
        <w:tc>
          <w:tcPr>
            <w:tcW w:w="893" w:type="pct"/>
          </w:tcPr>
          <w:p w14:paraId="7892CBFA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</w:tcPr>
          <w:p w14:paraId="32A8214E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60545FFB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C0C0C0"/>
          </w:tcPr>
          <w:p w14:paraId="1D3A56A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 xml:space="preserve">Construction </w:t>
            </w:r>
          </w:p>
        </w:tc>
        <w:tc>
          <w:tcPr>
            <w:tcW w:w="893" w:type="pct"/>
            <w:shd w:val="clear" w:color="auto" w:fill="C0C0C0"/>
          </w:tcPr>
          <w:p w14:paraId="6219F87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C0C0C0"/>
          </w:tcPr>
          <w:p w14:paraId="195EAE6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20BB44DA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1FF3087C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Site safety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499950E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19C11E7C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03D7E836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4B4D35D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Construction cost and programme risk</w:t>
            </w:r>
          </w:p>
        </w:tc>
        <w:tc>
          <w:tcPr>
            <w:tcW w:w="893" w:type="pct"/>
            <w:shd w:val="clear" w:color="auto" w:fill="auto"/>
          </w:tcPr>
          <w:p w14:paraId="6C16458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2D7530A5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42FF4530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0CF410EC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 xml:space="preserve">Design fault 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0A39F525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6C7E43E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225FDFE2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560E27AA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 xml:space="preserve">Construction traffic management </w:t>
            </w:r>
          </w:p>
        </w:tc>
        <w:tc>
          <w:tcPr>
            <w:tcW w:w="893" w:type="pct"/>
            <w:shd w:val="clear" w:color="auto" w:fill="auto"/>
          </w:tcPr>
          <w:p w14:paraId="78148DCE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47910B0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5E41EBE9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531CB59F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Adverse weather events (for extreme weather events see force majeure above)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0F706A68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66AEE2DB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4922ECA3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22042941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Planning approvals - impact of designation conditions on construction</w:t>
            </w:r>
          </w:p>
        </w:tc>
        <w:tc>
          <w:tcPr>
            <w:tcW w:w="893" w:type="pct"/>
            <w:shd w:val="clear" w:color="auto" w:fill="auto"/>
          </w:tcPr>
          <w:p w14:paraId="14AF73C3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29F8CED1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18F15DA9" w14:textId="77777777" w:rsidTr="00380D7D">
        <w:tc>
          <w:tcPr>
            <w:tcW w:w="3245" w:type="pct"/>
            <w:shd w:val="clear" w:color="auto" w:fill="E2EFD9" w:themeFill="accent6" w:themeFillTint="33"/>
          </w:tcPr>
          <w:p w14:paraId="5BDCF258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Construction cost increases including fuel and material supply costs</w:t>
            </w:r>
          </w:p>
        </w:tc>
        <w:tc>
          <w:tcPr>
            <w:tcW w:w="893" w:type="pct"/>
            <w:shd w:val="clear" w:color="auto" w:fill="E2EFD9" w:themeFill="accent6" w:themeFillTint="33"/>
          </w:tcPr>
          <w:p w14:paraId="4649FE99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1FB90B40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795DFD92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auto"/>
          </w:tcPr>
          <w:p w14:paraId="7EA2D3D7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sz w:val="20"/>
                <w:lang w:eastAsia="en-NZ"/>
              </w:rPr>
              <w:t>Construction errors and defects</w:t>
            </w:r>
          </w:p>
        </w:tc>
        <w:tc>
          <w:tcPr>
            <w:tcW w:w="893" w:type="pct"/>
            <w:shd w:val="clear" w:color="auto" w:fill="auto"/>
          </w:tcPr>
          <w:p w14:paraId="47A5C8D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auto"/>
          </w:tcPr>
          <w:p w14:paraId="3E16523F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62DC856B" w14:textId="77777777" w:rsidTr="00380D7D">
        <w:tc>
          <w:tcPr>
            <w:tcW w:w="3245" w:type="pct"/>
            <w:shd w:val="clear" w:color="auto" w:fill="D0CECE" w:themeFill="background2" w:themeFillShade="E6"/>
          </w:tcPr>
          <w:p w14:paraId="25D5BD35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sz w:val="20"/>
                <w:lang w:eastAsia="en-NZ"/>
              </w:rPr>
            </w:pPr>
            <w:r w:rsidRPr="00380D7D">
              <w:rPr>
                <w:rFonts w:eastAsia="Arial" w:cs="Arial"/>
                <w:b/>
                <w:bCs/>
                <w:sz w:val="20"/>
                <w:lang w:eastAsia="en-NZ"/>
              </w:rPr>
              <w:t>Other risks</w:t>
            </w:r>
          </w:p>
        </w:tc>
        <w:tc>
          <w:tcPr>
            <w:tcW w:w="893" w:type="pct"/>
            <w:shd w:val="clear" w:color="auto" w:fill="D0CECE" w:themeFill="background2" w:themeFillShade="E6"/>
          </w:tcPr>
          <w:p w14:paraId="13C854C7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D0CECE" w:themeFill="background2" w:themeFillShade="E6"/>
          </w:tcPr>
          <w:p w14:paraId="07690474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8F51CE" w:rsidRPr="00380D7D" w14:paraId="71501E06" w14:textId="77777777" w:rsidTr="0038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5" w:type="pct"/>
            <w:shd w:val="clear" w:color="auto" w:fill="E2EFD9" w:themeFill="accent6" w:themeFillTint="33"/>
          </w:tcPr>
          <w:p w14:paraId="40F74B50" w14:textId="77777777" w:rsidR="008F51CE" w:rsidRPr="00380D7D" w:rsidRDefault="008F51CE" w:rsidP="008F51CE">
            <w:pPr>
              <w:spacing w:before="20" w:after="20"/>
              <w:rPr>
                <w:rFonts w:eastAsia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893" w:type="pct"/>
            <w:shd w:val="clear" w:color="auto" w:fill="E2EFD9" w:themeFill="accent6" w:themeFillTint="33"/>
          </w:tcPr>
          <w:p w14:paraId="6A11160D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  <w:shd w:val="clear" w:color="auto" w:fill="E2EFD9" w:themeFill="accent6" w:themeFillTint="33"/>
          </w:tcPr>
          <w:p w14:paraId="2C87D055" w14:textId="77777777" w:rsidR="008F51CE" w:rsidRPr="00380D7D" w:rsidRDefault="008F51CE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  <w:tr w:rsidR="00380D7D" w:rsidRPr="00380D7D" w14:paraId="3F112487" w14:textId="77777777" w:rsidTr="00380D7D">
        <w:tc>
          <w:tcPr>
            <w:tcW w:w="3245" w:type="pct"/>
          </w:tcPr>
          <w:p w14:paraId="7D1DAD6E" w14:textId="77777777" w:rsidR="00380D7D" w:rsidRPr="00380D7D" w:rsidRDefault="00380D7D" w:rsidP="008F51CE">
            <w:pPr>
              <w:spacing w:before="20" w:after="20"/>
              <w:rPr>
                <w:rFonts w:eastAsia="Arial" w:cs="Arial"/>
                <w:b/>
                <w:bCs/>
                <w:sz w:val="20"/>
                <w:lang w:eastAsia="en-NZ"/>
              </w:rPr>
            </w:pPr>
          </w:p>
        </w:tc>
        <w:tc>
          <w:tcPr>
            <w:tcW w:w="893" w:type="pct"/>
          </w:tcPr>
          <w:p w14:paraId="769353E3" w14:textId="77777777" w:rsidR="00380D7D" w:rsidRPr="00380D7D" w:rsidRDefault="00380D7D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  <w:tc>
          <w:tcPr>
            <w:tcW w:w="862" w:type="pct"/>
          </w:tcPr>
          <w:p w14:paraId="0D062048" w14:textId="77777777" w:rsidR="00380D7D" w:rsidRPr="00380D7D" w:rsidRDefault="00380D7D" w:rsidP="008F51CE">
            <w:pPr>
              <w:spacing w:before="20" w:after="20"/>
              <w:jc w:val="center"/>
              <w:rPr>
                <w:rFonts w:eastAsia="Arial" w:cs="Arial"/>
                <w:sz w:val="20"/>
                <w:lang w:eastAsia="en-NZ"/>
              </w:rPr>
            </w:pPr>
          </w:p>
        </w:tc>
      </w:tr>
    </w:tbl>
    <w:p w14:paraId="299CC185" w14:textId="77777777" w:rsidR="003765A0" w:rsidRDefault="0048453C"/>
    <w:sectPr w:rsidR="00376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08158" w14:textId="77777777" w:rsidR="000629A1" w:rsidRDefault="000629A1" w:rsidP="000629A1">
      <w:pPr>
        <w:spacing w:after="0" w:line="240" w:lineRule="auto"/>
      </w:pPr>
      <w:r>
        <w:separator/>
      </w:r>
    </w:p>
  </w:endnote>
  <w:endnote w:type="continuationSeparator" w:id="0">
    <w:p w14:paraId="6E24CD03" w14:textId="77777777" w:rsidR="000629A1" w:rsidRDefault="000629A1" w:rsidP="0006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A1CE" w14:textId="77777777" w:rsidR="000629A1" w:rsidRDefault="00062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74B6" w14:textId="77777777" w:rsidR="000629A1" w:rsidRDefault="000629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1424" w14:textId="77777777" w:rsidR="000629A1" w:rsidRDefault="0006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ECE4B" w14:textId="77777777" w:rsidR="000629A1" w:rsidRDefault="000629A1" w:rsidP="000629A1">
      <w:pPr>
        <w:spacing w:after="0" w:line="240" w:lineRule="auto"/>
      </w:pPr>
      <w:r>
        <w:separator/>
      </w:r>
    </w:p>
  </w:footnote>
  <w:footnote w:type="continuationSeparator" w:id="0">
    <w:p w14:paraId="51734197" w14:textId="77777777" w:rsidR="000629A1" w:rsidRDefault="000629A1" w:rsidP="0006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CAFF" w14:textId="77777777" w:rsidR="000629A1" w:rsidRDefault="00062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DAF5" w14:textId="77777777" w:rsidR="000629A1" w:rsidRDefault="000629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2318" w14:textId="77777777" w:rsidR="000629A1" w:rsidRDefault="00062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5BB"/>
    <w:multiLevelType w:val="hybridMultilevel"/>
    <w:tmpl w:val="E1181858"/>
    <w:lvl w:ilvl="0" w:tplc="5DE48DB8">
      <w:start w:val="1"/>
      <w:numFmt w:val="upperLetter"/>
      <w:lvlText w:val="Appendix %1."/>
      <w:lvlJc w:val="left"/>
      <w:pPr>
        <w:ind w:left="22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CE"/>
    <w:rsid w:val="000629A1"/>
    <w:rsid w:val="0010418F"/>
    <w:rsid w:val="001E45C9"/>
    <w:rsid w:val="00380D7D"/>
    <w:rsid w:val="0048453C"/>
    <w:rsid w:val="005755CD"/>
    <w:rsid w:val="0078237E"/>
    <w:rsid w:val="00813E6C"/>
    <w:rsid w:val="008F51CE"/>
    <w:rsid w:val="00B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001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reconTable1">
    <w:name w:val="Aurecon Table 1"/>
    <w:basedOn w:val="TableNormal"/>
    <w:uiPriority w:val="99"/>
    <w:rsid w:val="008F51CE"/>
    <w:pPr>
      <w:spacing w:before="60" w:after="60" w:line="240" w:lineRule="auto"/>
    </w:pPr>
    <w:rPr>
      <w:rFonts w:ascii="Arial" w:hAnsi="Arial"/>
      <w:sz w:val="18"/>
      <w:szCs w:val="20"/>
      <w:lang w:val="en-AU"/>
    </w:rPr>
    <w:tblPr>
      <w:tblStyleRowBandSize w:val="1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6" w:space="0" w:color="C0C0C0"/>
        <w:insideV w:val="single" w:sz="6" w:space="0" w:color="C0C0C0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7AB800"/>
      </w:tcPr>
    </w:tblStylePr>
    <w:tblStylePr w:type="band2Horz">
      <w:rPr>
        <w:rFonts w:ascii="Arial" w:hAnsi="Arial"/>
        <w:sz w:val="18"/>
      </w:rPr>
      <w:tblPr/>
      <w:tcPr>
        <w:shd w:val="clear" w:color="auto" w:fill="E4F1CC"/>
      </w:tcPr>
    </w:tblStylePr>
  </w:style>
  <w:style w:type="character" w:styleId="CommentReference">
    <w:name w:val="annotation reference"/>
    <w:basedOn w:val="DefaultParagraphFont"/>
    <w:uiPriority w:val="99"/>
    <w:unhideWhenUsed/>
    <w:rsid w:val="008F5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1CE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1CE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A1"/>
  </w:style>
  <w:style w:type="paragraph" w:styleId="Footer">
    <w:name w:val="footer"/>
    <w:basedOn w:val="Normal"/>
    <w:link w:val="FooterChar"/>
    <w:uiPriority w:val="99"/>
    <w:unhideWhenUsed/>
    <w:rsid w:val="000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reconTable1">
    <w:name w:val="Aurecon Table 1"/>
    <w:basedOn w:val="TableNormal"/>
    <w:uiPriority w:val="99"/>
    <w:rsid w:val="008F51CE"/>
    <w:pPr>
      <w:spacing w:before="60" w:after="60" w:line="240" w:lineRule="auto"/>
    </w:pPr>
    <w:rPr>
      <w:rFonts w:ascii="Arial" w:hAnsi="Arial"/>
      <w:sz w:val="18"/>
      <w:szCs w:val="20"/>
      <w:lang w:val="en-AU"/>
    </w:rPr>
    <w:tblPr>
      <w:tblStyleRowBandSize w:val="1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6" w:space="0" w:color="C0C0C0"/>
        <w:insideV w:val="single" w:sz="6" w:space="0" w:color="C0C0C0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7AB800"/>
      </w:tcPr>
    </w:tblStylePr>
    <w:tblStylePr w:type="band2Horz">
      <w:rPr>
        <w:rFonts w:ascii="Arial" w:hAnsi="Arial"/>
        <w:sz w:val="18"/>
      </w:rPr>
      <w:tblPr/>
      <w:tcPr>
        <w:shd w:val="clear" w:color="auto" w:fill="E4F1CC"/>
      </w:tcPr>
    </w:tblStylePr>
  </w:style>
  <w:style w:type="character" w:styleId="CommentReference">
    <w:name w:val="annotation reference"/>
    <w:basedOn w:val="DefaultParagraphFont"/>
    <w:uiPriority w:val="99"/>
    <w:unhideWhenUsed/>
    <w:rsid w:val="008F5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1CE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1CE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A1"/>
  </w:style>
  <w:style w:type="paragraph" w:styleId="Footer">
    <w:name w:val="footer"/>
    <w:basedOn w:val="Normal"/>
    <w:link w:val="FooterChar"/>
    <w:uiPriority w:val="99"/>
    <w:unhideWhenUsed/>
    <w:rsid w:val="0006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884662-274D-46FE-ADE6-33DAAD444163}">
  <we:reference id="fb0b52f8-115e-4b21-9a5a-c8fe230b5128" version="1.0.0.0" store="developer" storeType="Registry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2496B585.dotm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allocation table - template</dc:title>
  <dc:subject/>
  <dc:creator/>
  <cp:keywords>MAKO ID: 103728327</cp:keywords>
  <dc:description/>
  <cp:lastModifiedBy/>
  <cp:revision>1</cp:revision>
  <dcterms:created xsi:type="dcterms:W3CDTF">2020-07-21T03:14:00Z</dcterms:created>
  <dcterms:modified xsi:type="dcterms:W3CDTF">2020-07-21T22:58:00Z</dcterms:modified>
</cp:coreProperties>
</file>